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FF3153" w:rsidR="000456A0" w:rsidRDefault="00DF0C98">
      <w:pPr>
        <w:pStyle w:val="Nadpis1"/>
        <w:jc w:val="both"/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</w:pPr>
      <w:r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  <w:t>Nejvhodnější byt na investice je v</w:t>
      </w:r>
      <w:r w:rsidR="00D6300D"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  <w:t> </w:t>
      </w:r>
      <w:r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  <w:t>Praze</w:t>
      </w:r>
      <w:r w:rsidR="00D6300D"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  <w:t>,</w:t>
      </w:r>
      <w:r>
        <w:rPr>
          <w:rFonts w:ascii="Source Sans Pro" w:eastAsia="Source Sans Pro" w:hAnsi="Source Sans Pro" w:cs="Source Sans Pro"/>
          <w:b/>
          <w:color w:val="36D96B"/>
          <w:sz w:val="30"/>
          <w:szCs w:val="30"/>
        </w:rPr>
        <w:t xml:space="preserve"> myslí si Češi. Experti ale upozorňují na výhodnost rizikovějších lokalit</w:t>
      </w:r>
    </w:p>
    <w:p w14:paraId="00000002" w14:textId="77777777" w:rsidR="000456A0" w:rsidRDefault="000456A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14:paraId="00000003" w14:textId="296E8120" w:rsidR="000456A0" w:rsidRDefault="00DF0C98">
      <w:pPr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 xml:space="preserve">V Praze </w:t>
      </w:r>
      <w:r w:rsidR="00525D47"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>29</w:t>
      </w:r>
      <w:r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 xml:space="preserve">. </w:t>
      </w:r>
      <w:r w:rsidR="00525D47"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>listopadu</w:t>
      </w:r>
      <w:r>
        <w:rPr>
          <w:rFonts w:ascii="Source Sans Pro" w:eastAsia="Source Sans Pro" w:hAnsi="Source Sans Pro" w:cs="Source Sans Pro"/>
          <w:i/>
          <w:color w:val="000000"/>
          <w:sz w:val="20"/>
          <w:szCs w:val="20"/>
        </w:rPr>
        <w:t xml:space="preserve"> 2021 </w:t>
      </w: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Podle aktuálního </w:t>
      </w:r>
      <w:sdt>
        <w:sdtPr>
          <w:tag w:val="goog_rdk_0"/>
          <w:id w:val="1619488188"/>
        </w:sdtPr>
        <w:sdtEndPr/>
        <w:sdtContent/>
      </w:sdt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průzkumu</w:t>
      </w:r>
      <w:r w:rsidR="00525D47"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 EMA data pro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společnost </w:t>
      </w:r>
      <w:proofErr w:type="spellStart"/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 považuje 35 % Čechů za nejvhodnější investovat do nemovitosti v Praze. V hlavním městě přitom m</w:t>
      </w:r>
      <w:r>
        <w:rPr>
          <w:rFonts w:ascii="Source Sans Pro" w:eastAsia="Source Sans Pro" w:hAnsi="Source Sans Pro" w:cs="Source Sans Pro"/>
          <w:b/>
          <w:color w:val="000000"/>
          <w:sz w:val="20"/>
          <w:szCs w:val="20"/>
          <w:vertAlign w:val="superscript"/>
        </w:rPr>
        <w:t>2</w:t>
      </w: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 stojí</w:t>
      </w:r>
      <w:r w:rsidRPr="00525D47"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 dvojnásobek</w:t>
      </w: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 xml:space="preserve"> republikového průměru, a investice se zde proto vyplácí nejméně. Výhodné jsou naopak nemovitosti v regionech s horší pověstí, kde by bylo za určitých podmínek a garancí ochotno investovat 58 % Čechů.</w:t>
      </w:r>
    </w:p>
    <w:p w14:paraId="00000004" w14:textId="77777777" w:rsidR="000456A0" w:rsidRDefault="00DF0C98">
      <w:pPr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Nemovitost jako investici má 6 % Čechů a dalších 7 % Čechů ji zvažuje, vyplynulo z nedávného průzkumu EMA data pro společnost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. Podle aktuálních dat přitom za nejvhodnější považují investiční nemovitost v Praze, myslí si to 35 % respondentů. 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>„Hlavní města jsou jistou zárukou, že nemovitost nezůstane nevyužita. Navíc v Praze je dlouhodobý nedostatek bytů, a tak je riziko neobsazenosti za běžného stavu skutečně velmi malé,“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vysvětluje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Miloslav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, CEO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.</w:t>
      </w:r>
    </w:p>
    <w:p w14:paraId="00000005" w14:textId="77777777" w:rsidR="000456A0" w:rsidRDefault="000456A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14:paraId="00000006" w14:textId="77777777" w:rsidR="000456A0" w:rsidRDefault="00DF0C98">
      <w:pPr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Praha je drahá, nejvýhodnější jsou byty v „horších“ lokalitách </w:t>
      </w:r>
    </w:p>
    <w:p w14:paraId="00000007" w14:textId="1AA02710" w:rsidR="000456A0" w:rsidRDefault="00DF0C98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Praha je ale drahá. 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„Cena nemovitostí v Praze je dvojnásobná oproti průměru republiky a oproti některým </w:t>
      </w:r>
      <w:r w:rsidRPr="00705384">
        <w:rPr>
          <w:rFonts w:ascii="Source Sans Pro" w:eastAsia="Source Sans Pro" w:hAnsi="Source Sans Pro" w:cs="Source Sans Pro"/>
          <w:i/>
          <w:sz w:val="20"/>
          <w:szCs w:val="20"/>
        </w:rPr>
        <w:t>krajům i trojnásobná. Kupovat byt v Praze na bydlení již před časem přestalo dávat ekonomicky smysl a začínají převažovat koupě právě na investice. Vzhledem k cenám to ale rozhodně není pro běžného investora,“</w:t>
      </w:r>
      <w:r w:rsidRPr="00705384">
        <w:rPr>
          <w:rFonts w:ascii="Source Sans Pro" w:eastAsia="Source Sans Pro" w:hAnsi="Source Sans Pro" w:cs="Source Sans Pro"/>
          <w:sz w:val="20"/>
          <w:szCs w:val="20"/>
        </w:rPr>
        <w:t xml:space="preserve"> vysvětluje Miloslav </w:t>
      </w:r>
      <w:proofErr w:type="spellStart"/>
      <w:r w:rsidRPr="00705384"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 w:rsidRPr="00705384">
        <w:rPr>
          <w:rFonts w:ascii="Source Sans Pro" w:eastAsia="Source Sans Pro" w:hAnsi="Source Sans Pro" w:cs="Source Sans Pro"/>
          <w:sz w:val="20"/>
          <w:szCs w:val="20"/>
        </w:rPr>
        <w:t>. Aktuálně stojí v Praze m</w:t>
      </w:r>
      <w:r w:rsidRPr="00705384">
        <w:rPr>
          <w:rFonts w:ascii="Source Sans Pro" w:eastAsia="Source Sans Pro" w:hAnsi="Source Sans Pro" w:cs="Source Sans Pro"/>
          <w:sz w:val="20"/>
          <w:szCs w:val="20"/>
          <w:vertAlign w:val="superscript"/>
        </w:rPr>
        <w:t>2</w:t>
      </w:r>
      <w:r w:rsidRPr="00705384">
        <w:rPr>
          <w:rFonts w:ascii="Source Sans Pro" w:eastAsia="Source Sans Pro" w:hAnsi="Source Sans Pro" w:cs="Source Sans Pro"/>
          <w:sz w:val="20"/>
          <w:szCs w:val="20"/>
        </w:rPr>
        <w:t xml:space="preserve"> 108 528 Kč, celorepublikový průměr činí 57 075</w:t>
      </w:r>
      <w:r w:rsidRPr="00705384"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 Kč. Češi tak svoji pozornost začínají směřovat do jiných lokalit. </w:t>
      </w:r>
      <w:r w:rsidRPr="00705384">
        <w:rPr>
          <w:rFonts w:ascii="Source Sans Pro" w:eastAsia="Source Sans Pro" w:hAnsi="Source Sans Pro" w:cs="Source Sans Pro"/>
          <w:sz w:val="20"/>
          <w:szCs w:val="20"/>
        </w:rPr>
        <w:t>Hned po hlavním městě se jako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vhodná pro 23 % jeví investice v krajských městech. Menší nebo okresní města by preferovalo 15 %, resp. 14 % a na vesnici by se zaměřilo 13 % Čechů.</w:t>
      </w:r>
    </w:p>
    <w:p w14:paraId="00000008" w14:textId="77777777" w:rsidR="000456A0" w:rsidRDefault="00DF0C98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</w:rPr>
        <w:drawing>
          <wp:inline distT="0" distB="0" distL="0" distR="0" wp14:anchorId="0E95DED3" wp14:editId="26920252">
            <wp:extent cx="6736080" cy="21717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000009" w14:textId="77777777" w:rsidR="000456A0" w:rsidRDefault="000456A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14:paraId="0000000A" w14:textId="5410FD33" w:rsidR="000456A0" w:rsidRDefault="00DF0C98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Podle analýzy společnosti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se ale investice nejvíce vyplatí v</w:t>
      </w:r>
      <w:r w:rsidR="00705384">
        <w:rPr>
          <w:rFonts w:ascii="Source Sans Pro" w:eastAsia="Source Sans Pro" w:hAnsi="Source Sans Pro" w:cs="Source Sans Pro"/>
          <w:sz w:val="20"/>
          <w:szCs w:val="20"/>
        </w:rPr>
        <w:t> </w:t>
      </w:r>
      <w:r>
        <w:rPr>
          <w:rFonts w:ascii="Source Sans Pro" w:eastAsia="Source Sans Pro" w:hAnsi="Source Sans Pro" w:cs="Source Sans Pro"/>
          <w:sz w:val="20"/>
          <w:szCs w:val="20"/>
        </w:rPr>
        <w:t>regionech</w:t>
      </w:r>
      <w:r w:rsidR="00705384">
        <w:t xml:space="preserve">. </w:t>
      </w:r>
      <w:r w:rsidR="00705384">
        <w:rPr>
          <w:rFonts w:ascii="Source Sans Pro" w:eastAsia="Source Sans Pro" w:hAnsi="Source Sans Pro" w:cs="Source Sans Pro"/>
          <w:sz w:val="20"/>
          <w:szCs w:val="20"/>
        </w:rPr>
        <w:t>které Češi považují za rizikovější.</w:t>
      </w:r>
      <w:r w:rsidR="00705384">
        <w:t xml:space="preserve"> 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„Takové regiony jsou z pohledu </w:t>
      </w:r>
      <w:r w:rsidR="00705384">
        <w:rPr>
          <w:rFonts w:ascii="Source Sans Pro" w:eastAsia="Source Sans Pro" w:hAnsi="Source Sans Pro" w:cs="Source Sans Pro"/>
          <w:i/>
          <w:sz w:val="20"/>
          <w:szCs w:val="20"/>
        </w:rPr>
        <w:t xml:space="preserve">veřejných 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investic opomíjeny bez ohledu na to, jaké s nimi má místní samospráva plány. Investice do nemovitostí by se ale neměla řídit současnou situací, ale právě výhledem na </w:t>
      </w:r>
      <w:r w:rsidRPr="00DF0C98">
        <w:rPr>
          <w:rFonts w:ascii="Source Sans Pro" w:eastAsia="Source Sans Pro" w:hAnsi="Source Sans Pro" w:cs="Source Sans Pro"/>
          <w:i/>
          <w:sz w:val="20"/>
          <w:szCs w:val="20"/>
        </w:rPr>
        <w:t xml:space="preserve">následujících 10 a více let,“ </w:t>
      </w:r>
      <w:r w:rsidRPr="00DF0C98">
        <w:rPr>
          <w:rFonts w:ascii="Source Sans Pro" w:eastAsia="Source Sans Pro" w:hAnsi="Source Sans Pro" w:cs="Source Sans Pro"/>
          <w:sz w:val="20"/>
          <w:szCs w:val="20"/>
        </w:rPr>
        <w:t xml:space="preserve">vysvětluje Miloslav </w:t>
      </w:r>
      <w:proofErr w:type="spellStart"/>
      <w:r w:rsidRPr="00DF0C98"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 w:rsidRPr="00DF0C98">
        <w:rPr>
          <w:rFonts w:ascii="Source Sans Pro" w:eastAsia="Source Sans Pro" w:hAnsi="Source Sans Pro" w:cs="Source Sans Pro"/>
          <w:sz w:val="20"/>
          <w:szCs w:val="20"/>
        </w:rPr>
        <w:t>. O investici v takových lokalitách by za určitých podmínek bylo ochotno přemýšlet 58 % Čechů. Nejčastěji by je motivovala možnost rozložit riziko nákupem více bytů</w:t>
      </w:r>
      <w:sdt>
        <w:sdtPr>
          <w:tag w:val="goog_rdk_7"/>
          <w:id w:val="-1420707804"/>
        </w:sdtPr>
        <w:sdtEndPr/>
        <w:sdtContent>
          <w:r w:rsidRPr="00DF0C98">
            <w:rPr>
              <w:rFonts w:ascii="Source Sans Pro" w:eastAsia="Source Sans Pro" w:hAnsi="Source Sans Pro" w:cs="Source Sans Pro"/>
              <w:sz w:val="20"/>
              <w:szCs w:val="20"/>
            </w:rPr>
            <w:t>.</w:t>
          </w:r>
        </w:sdtContent>
      </w:sdt>
      <w:r w:rsidRPr="00DF0C98">
        <w:t xml:space="preserve"> </w:t>
      </w:r>
      <w:r w:rsidRPr="00DF0C98">
        <w:rPr>
          <w:rFonts w:ascii="Source Sans Pro" w:eastAsia="Source Sans Pro" w:hAnsi="Source Sans Pro" w:cs="Source Sans Pro"/>
          <w:sz w:val="20"/>
          <w:szCs w:val="20"/>
        </w:rPr>
        <w:t>Zajímavá by pro ně byla i záruka nesnížení hodnoty bytu, nebo vysoké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očekávané zhodnocení. 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>„Právě vyšší zhodnocení, kromě nízkých cen, je to, čím by tyto řekněme rizikové lokality měly lákat nejvíce. Například v Ústeckém kraji je průměrný výnos 60metrového bytu k 8 %, to je vysoce nadprůměrný výsledek,“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upřesňuje Miloslav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Lafek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a dodává, že garance výnosu či možnost investice do nemovitosti s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předschváleným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úvěrem již na českém trhu existuje, mezi nimi například platforma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Lusq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</w:t>
      </w:r>
    </w:p>
    <w:p w14:paraId="0000000B" w14:textId="77777777" w:rsidR="000456A0" w:rsidRDefault="00045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</w:p>
    <w:p w14:paraId="0000000C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b/>
          <w:noProof/>
          <w:color w:val="000000"/>
          <w:sz w:val="20"/>
          <w:szCs w:val="20"/>
        </w:rPr>
        <w:drawing>
          <wp:inline distT="0" distB="0" distL="0" distR="0" wp14:anchorId="4A6FCA12" wp14:editId="3DA7FCEA">
            <wp:extent cx="6697980" cy="254508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00000D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16"/>
          <w:szCs w:val="16"/>
        </w:rPr>
      </w:pPr>
      <w:r>
        <w:rPr>
          <w:rFonts w:ascii="Source Sans Pro" w:eastAsia="Source Sans Pro" w:hAnsi="Source Sans Pro" w:cs="Source Sans Pro"/>
          <w:color w:val="000000"/>
          <w:sz w:val="16"/>
          <w:szCs w:val="16"/>
        </w:rPr>
        <w:t>Pozn.: Čísla v grafu jsou zaokrouhlena, součet tedy může být více než 100.</w:t>
      </w:r>
    </w:p>
    <w:p w14:paraId="0000000E" w14:textId="77777777" w:rsidR="000456A0" w:rsidRDefault="00045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</w:p>
    <w:p w14:paraId="0000000F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O průzkumu </w:t>
      </w:r>
    </w:p>
    <w:p w14:paraId="00000010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Průzkum pro LUSQ na téma investice do nemovitosti realizovala společnost EMA </w:t>
      </w:r>
      <w:r>
        <w:rPr>
          <w:rFonts w:ascii="Source Sans Pro" w:eastAsia="Source Sans Pro" w:hAnsi="Source Sans Pro" w:cs="Source Sans Pro"/>
          <w:sz w:val="20"/>
          <w:szCs w:val="20"/>
        </w:rPr>
        <w:t>d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ata. Sběr dat probíhal on-line v období 12.–18. května 2021 a zúčastnilo se ho celkem 1 044 respondentů ve věku 21–61 let v reprezentativním zastoupení podle pohlaví, regionu, ekonomické aktivity a věkové skupiny.</w:t>
      </w:r>
    </w:p>
    <w:p w14:paraId="00000011" w14:textId="77777777" w:rsidR="000456A0" w:rsidRDefault="00045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</w:p>
    <w:p w14:paraId="00000012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O společnosti LUSQ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 </w:t>
      </w:r>
    </w:p>
    <w:p w14:paraId="00000013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LUSQ jako první na českém trhu umožňuje koupi investičních bytů se zaručeným výnosem zcela on-line. Za českým startupem stojí tým ndot.cz, který je složen ze zkušených podnikatelů a odborníků z množství oborů. Přináší svým klientům jednoduchou cestu k zaručenému zhodnocení volných prostředků jednoduše a bezpečně.</w:t>
      </w:r>
    </w:p>
    <w:p w14:paraId="00000014" w14:textId="77777777" w:rsidR="000456A0" w:rsidRDefault="000456A0">
      <w:pPr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14:paraId="00000015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Kontakt pro média:</w:t>
      </w:r>
    </w:p>
    <w:p w14:paraId="00000016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Lucie Pech</w:t>
      </w:r>
    </w:p>
    <w:p w14:paraId="00000017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 xml:space="preserve">PR </w:t>
      </w:r>
      <w:proofErr w:type="spellStart"/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Consultant</w:t>
      </w:r>
      <w:proofErr w:type="spellEnd"/>
    </w:p>
    <w:p w14:paraId="00000018" w14:textId="77777777" w:rsidR="000456A0" w:rsidRDefault="00D63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hyperlink r:id="rId9">
        <w:r w:rsidR="00DF0C98"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</w:rPr>
          <w:t>lucie.pech@crestcom.cz</w:t>
        </w:r>
      </w:hyperlink>
    </w:p>
    <w:p w14:paraId="00000019" w14:textId="77777777" w:rsidR="000456A0" w:rsidRDefault="00DF0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731 615 033</w:t>
      </w:r>
    </w:p>
    <w:sectPr w:rsidR="000456A0">
      <w:headerReference w:type="default" r:id="rId10"/>
      <w:footerReference w:type="default" r:id="rId11"/>
      <w:pgSz w:w="11906" w:h="16838"/>
      <w:pgMar w:top="566" w:right="566" w:bottom="566" w:left="56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B28C" w14:textId="77777777" w:rsidR="00D86131" w:rsidRDefault="00DF0C98">
      <w:pPr>
        <w:spacing w:after="0" w:line="240" w:lineRule="auto"/>
      </w:pPr>
      <w:r>
        <w:separator/>
      </w:r>
    </w:p>
  </w:endnote>
  <w:endnote w:type="continuationSeparator" w:id="0">
    <w:p w14:paraId="6FB24B12" w14:textId="77777777" w:rsidR="00D86131" w:rsidRDefault="00DF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0456A0" w:rsidRDefault="000456A0"/>
  <w:p w14:paraId="0000001C" w14:textId="77777777" w:rsidR="000456A0" w:rsidRDefault="00D6300D">
    <w:pPr>
      <w:rPr>
        <w:u w:val="single"/>
      </w:rPr>
    </w:pPr>
    <w:r>
      <w:pict w14:anchorId="620ED84A">
        <v:rect id="_x0000_i1025" style="width:0;height:1.5pt" o:hralign="center" o:hrstd="t" o:hr="t" fillcolor="#a0a0a0" stroked="f"/>
      </w:pict>
    </w:r>
  </w:p>
  <w:p w14:paraId="0000001D" w14:textId="77777777" w:rsidR="000456A0" w:rsidRDefault="00DF0C98">
    <w:pPr>
      <w:rPr>
        <w:rFonts w:ascii="Source Sans Pro" w:eastAsia="Source Sans Pro" w:hAnsi="Source Sans Pro" w:cs="Source Sans Pro"/>
        <w:color w:val="36D96B"/>
        <w:sz w:val="16"/>
        <w:szCs w:val="16"/>
      </w:rPr>
    </w:pPr>
    <w:r>
      <w:rPr>
        <w:rFonts w:ascii="Source Sans Pro" w:eastAsia="Source Sans Pro" w:hAnsi="Source Sans Pro" w:cs="Source Sans Pro"/>
        <w:b/>
        <w:color w:val="36D96B"/>
        <w:sz w:val="16"/>
        <w:szCs w:val="16"/>
      </w:rPr>
      <w:t>LUSQ s.r.o.</w:t>
    </w:r>
    <w:r>
      <w:rPr>
        <w:rFonts w:ascii="Source Sans Pro" w:eastAsia="Source Sans Pro" w:hAnsi="Source Sans Pro" w:cs="Source Sans Pro"/>
        <w:color w:val="36D96B"/>
        <w:sz w:val="16"/>
        <w:szCs w:val="16"/>
      </w:rPr>
      <w:t xml:space="preserve">, Říční 456/10, 118 00 Praha 1 - Malá Strana </w:t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  <w:t xml:space="preserve">                www.lusq.cz</w:t>
    </w:r>
    <w:r>
      <w:rPr>
        <w:rFonts w:ascii="Source Sans Pro" w:eastAsia="Source Sans Pro" w:hAnsi="Source Sans Pro" w:cs="Source Sans Pro"/>
        <w:color w:val="36D96B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79D7" w14:textId="77777777" w:rsidR="00D86131" w:rsidRDefault="00DF0C98">
      <w:pPr>
        <w:spacing w:after="0" w:line="240" w:lineRule="auto"/>
      </w:pPr>
      <w:r>
        <w:separator/>
      </w:r>
    </w:p>
  </w:footnote>
  <w:footnote w:type="continuationSeparator" w:id="0">
    <w:p w14:paraId="17CDD463" w14:textId="77777777" w:rsidR="00D86131" w:rsidRDefault="00DF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0456A0" w:rsidRDefault="00DF0C98">
    <w:pPr>
      <w:pStyle w:val="Nadpis1"/>
      <w:jc w:val="right"/>
    </w:pPr>
    <w:bookmarkStart w:id="0" w:name="_heading=h.gjdgxs" w:colFirst="0" w:colLast="0"/>
    <w:bookmarkEnd w:id="0"/>
    <w:r>
      <w:rPr>
        <w:rFonts w:ascii="Source Sans Pro" w:eastAsia="Source Sans Pro" w:hAnsi="Source Sans Pro" w:cs="Source Sans Pro"/>
        <w:b/>
        <w:noProof/>
        <w:sz w:val="30"/>
        <w:szCs w:val="30"/>
      </w:rPr>
      <w:drawing>
        <wp:inline distT="114300" distB="114300" distL="114300" distR="114300" wp14:anchorId="709E77D1" wp14:editId="0A6792D4">
          <wp:extent cx="943293" cy="35448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293" cy="35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A0"/>
    <w:rsid w:val="000456A0"/>
    <w:rsid w:val="00525D47"/>
    <w:rsid w:val="00705384"/>
    <w:rsid w:val="008E196B"/>
    <w:rsid w:val="00D6300D"/>
    <w:rsid w:val="00D86131"/>
    <w:rsid w:val="00D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FE8C"/>
  <w15:docId w15:val="{F4C6C9A3-6810-49B3-AC55-232E14E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E31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16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7489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e.pech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Source Sans Pro" panose="020B0503030403020204" pitchFamily="34" charset="0"/>
                <a:ea typeface="+mn-ea"/>
                <a:cs typeface="+mn-cs"/>
              </a:defRPr>
            </a:pPr>
            <a:r>
              <a:rPr lang="en-US" sz="1400" b="1"/>
              <a:t>Kde považujete nákup investičního bytu za nejvhodnější?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Source Sans Pro" panose="020B0503030403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Kde považujete nákup investičního bytu za nejvhodnější?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77-4D8F-BC48-300EB501702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77-4D8F-BC48-300EB5017028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77-4D8F-BC48-300EB5017028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77-4D8F-BC48-300EB5017028}"/>
              </c:ext>
            </c:extLst>
          </c:dPt>
          <c:dPt>
            <c:idx val="4"/>
            <c:bubble3D val="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277-4D8F-BC48-300EB501702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Source Sans Pro" panose="020B0503030403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277-4D8F-BC48-300EB5017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Source Sans Pro" panose="020B0503030403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V Praze</c:v>
                </c:pt>
                <c:pt idx="1">
                  <c:v>V krajských městech</c:v>
                </c:pt>
                <c:pt idx="2">
                  <c:v>V okresních městech</c:v>
                </c:pt>
                <c:pt idx="3">
                  <c:v>V menších městech</c:v>
                </c:pt>
                <c:pt idx="4">
                  <c:v>na vesnicích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0.35</c:v>
                </c:pt>
                <c:pt idx="1">
                  <c:v>0.23</c:v>
                </c:pt>
                <c:pt idx="2">
                  <c:v>0.14000000000000001</c:v>
                </c:pt>
                <c:pt idx="3">
                  <c:v>0.15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277-4D8F-BC48-300EB5017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Source Sans Pro" panose="020B0503030403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ource Sans Pro" panose="020B0503030403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Source Sans Pro" panose="020B0503030403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 by vás motivovalo k nákupu investičního bytu v regionech s horší pověstí?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A6D-4FCA-A30F-6DB38BCF085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6D-4FCA-A30F-6DB38BCF0851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A6D-4FCA-A30F-6DB38BCF0851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6D-4FCA-A30F-6DB38BCF0851}"/>
              </c:ext>
            </c:extLst>
          </c:dPt>
          <c:dPt>
            <c:idx val="4"/>
            <c:bubble3D val="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A6D-4FCA-A30F-6DB38BCF085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Source Sans Pro" panose="020B0503030403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A6D-4FCA-A30F-6DB38BCF08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Source Sans Pro" panose="020B0503030403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Mít možnot rozložit riziko nákupem více bytů</c:v>
                </c:pt>
                <c:pt idx="1">
                  <c:v>Garance nesnížení hodnoty bytu</c:v>
                </c:pt>
                <c:pt idx="2">
                  <c:v>Vysoké očekávané zhodnocení</c:v>
                </c:pt>
                <c:pt idx="3">
                  <c:v>Jsem dostatečně motivovaný/á, již v takové oblasti investuji</c:v>
                </c:pt>
                <c:pt idx="4">
                  <c:v>Nic. Je to příliš velké riziko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0.22</c:v>
                </c:pt>
                <c:pt idx="1">
                  <c:v>0.2</c:v>
                </c:pt>
                <c:pt idx="2">
                  <c:v>0.11</c:v>
                </c:pt>
                <c:pt idx="3">
                  <c:v>0.06</c:v>
                </c:pt>
                <c:pt idx="4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D-4FCA-A30F-6DB38BCF0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152445961319684"/>
          <c:y val="0.2284251968503937"/>
          <c:w val="0.44709897610921506"/>
          <c:h val="0.69178385596537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Source Sans Pro" panose="020B0503030403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ource Sans Pro" panose="020B0503030403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ihGyRY4M99uUN6H07K5ptlmJg==">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3064</Characters>
  <Application>Microsoft Office Word</Application>
  <DocSecurity>4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Pech</dc:creator>
  <cp:lastModifiedBy>Dokumenty Crestcom</cp:lastModifiedBy>
  <cp:revision>2</cp:revision>
  <dcterms:created xsi:type="dcterms:W3CDTF">2021-11-29T11:10:00Z</dcterms:created>
  <dcterms:modified xsi:type="dcterms:W3CDTF">2021-11-29T11:10:00Z</dcterms:modified>
</cp:coreProperties>
</file>